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ritannic Bold" w:hAnsi="Britannic Bold" w:cs="Britannic Bold" w:eastAsia="Britannic Bold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ritannic Bold" w:hAnsi="Britannic Bold" w:cs="Britannic Bold" w:eastAsia="Britannic Bold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 xml:space="preserve">KEWASKUM VETERINARY CLINIC, INC.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Dr. Gregory Ogi    Dr. Nicholas Wagner</w:t>
        <w:tab/>
        <w:t xml:space="preserve">Dr. Isaac Fisher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1040 Fond du Lac Avenue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Kewaskum, WI.  53040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Phone: 262-626-2380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Kewaskumveterinaryclinic.com</w:t>
        <w:br/>
        <w:t xml:space="preserve">email: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kewaskumveterinary@gmail.com</w:t>
        </w:r>
      </w:hyperlink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Please provide two emergency contacts with two ways to contact them (cell, home, work, etc.)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Emergency Contact Information #1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Name: ________________________________________________________________________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Relationship:___________________________________________________________________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Phone number #1:_______________________________________________________________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Phone number #2:_______________________________________________________________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Emergency Contact Information #2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Name: ________________________________________________________________________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Relationship:___________________________________________________________________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Phone number #1:_______________________________________________________________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Phone number #2:_______________________________________________________________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Please inform us of any of the following: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If you have a history of fainting. YES | NO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If you have a history of seizures. YES | NO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If you have sensitivities to seeing blood or needles. YES | NO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If you have any allergies, including, but not limited to, latex. YES | NO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List: __________________________________________________________________________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ab/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If you have any other ailments that might make you more at risk during your visit, please list these below.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______________________________________________________________________________</w:t>
      </w:r>
    </w:p>
    <w:p>
      <w:pPr>
        <w:spacing w:before="0" w:after="15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ewaskumveterinary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